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consentimiento-informado-hilos-tensores"/>
    <w:p>
      <w:pPr>
        <w:pStyle w:val="Heading1"/>
      </w:pPr>
      <w:r>
        <w:t xml:space="preserve">CONSENTIMIENTO INFORMADO, HILOS TENSORES</w:t>
      </w:r>
    </w:p>
    <w:p>
      <w:pPr>
        <w:pStyle w:val="FirstParagraph"/>
      </w:pPr>
      <w:r>
        <w:rPr>
          <w:b/>
          <w:bCs/>
        </w:rPr>
        <w:t xml:space="preserve">Centro:</w:t>
      </w:r>
      <w:r>
        <w:t xml:space="preserve"> </w:t>
      </w:r>
      <w:r>
        <w:t xml:space="preserve">[CENTRO], Unidad asistencial</w:t>
      </w:r>
      <w:r>
        <w:t xml:space="preserve"> </w:t>
      </w:r>
      <w:r>
        <w:rPr>
          <w:b/>
          <w:bCs/>
        </w:rPr>
        <w:t xml:space="preserve">U.48 Medicina Estética</w:t>
      </w:r>
      <w:r>
        <w:t xml:space="preserve"> </w:t>
      </w:r>
      <w:r>
        <w:t xml:space="preserve">· Nº de autorización sanitaria: [Nº AUTORIZACIÓN U.48]</w:t>
      </w:r>
      <w:r>
        <w:t xml:space="preserve"> </w:t>
      </w:r>
      <w:r>
        <w:rPr>
          <w:b/>
          <w:bCs/>
        </w:rPr>
        <w:t xml:space="preserve">Marco legal:</w:t>
      </w:r>
      <w:r>
        <w:t xml:space="preserve"> </w:t>
      </w:r>
      <w:r>
        <w:t xml:space="preserve">Ley 41/2002, de autonomía del/de la paciente (información y consentimiento por escrito en procedimientos con riesgo).</w:t>
      </w:r>
    </w:p>
    <w:p>
      <w:r>
        <w:pict>
          <v:rect style="width:0;height:1.5pt" o:hralign="center" o:hrstd="t" o:hr="t"/>
        </w:pict>
      </w:r>
    </w:p>
    <w:bookmarkStart w:id="9" w:name="identificación"/>
    <w:p>
      <w:pPr>
        <w:pStyle w:val="Heading2"/>
      </w:pPr>
      <w:r>
        <w:t xml:space="preserve">1. Identificación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Paciente (D./Dña.):</w:t>
      </w:r>
      <w:r>
        <w:t xml:space="preserve"> </w:t>
      </w:r>
      <w:r>
        <w:t xml:space="preserve">[NOMBRE] ·</w:t>
      </w:r>
      <w:r>
        <w:t xml:space="preserve"> </w:t>
      </w:r>
      <w:r>
        <w:rPr>
          <w:b/>
          <w:bCs/>
        </w:rPr>
        <w:t xml:space="preserve">DNI / NIE:</w:t>
      </w:r>
      <w:r>
        <w:t xml:space="preserve"> </w:t>
      </w:r>
      <w:r>
        <w:t xml:space="preserve">[DNI] ·</w:t>
      </w:r>
      <w:r>
        <w:t xml:space="preserve"> </w:t>
      </w:r>
      <w:r>
        <w:rPr>
          <w:b/>
          <w:bCs/>
        </w:rPr>
        <w:t xml:space="preserve">Fecha de nacimiento:</w:t>
      </w:r>
      <w:r>
        <w:t xml:space="preserve"> </w:t>
      </w:r>
      <w:r>
        <w:t xml:space="preserve">[___]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Médica responsable:</w:t>
      </w:r>
      <w:r>
        <w:t xml:space="preserve"> </w:t>
      </w:r>
      <w:r>
        <w:t xml:space="preserve">Dra. [NOMBRE] · Nº de colegiada</w:t>
      </w:r>
      <w:r>
        <w:t xml:space="preserve"> </w:t>
      </w:r>
      <w:r>
        <w:rPr>
          <w:b/>
          <w:bCs/>
        </w:rPr>
        <w:t xml:space="preserve">[Nº COLEGIADA]</w:t>
      </w:r>
      <w:r>
        <w:t xml:space="preserve"> </w:t>
      </w:r>
      <w:r>
        <w:t xml:space="preserve">· Colegio Oficial de Médicos de [PROVINCIA]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Fecha de la información y firma (anterior al procedimiento):</w:t>
      </w:r>
      <w:r>
        <w:t xml:space="preserve"> </w:t>
      </w:r>
      <w:r>
        <w:t xml:space="preserve">[FECHA]</w:t>
      </w:r>
    </w:p>
    <w:bookmarkEnd w:id="9"/>
    <w:bookmarkStart w:id="10" w:name="en-qué-consiste-y-con-qué-objetivo"/>
    <w:p>
      <w:pPr>
        <w:pStyle w:val="Heading2"/>
      </w:pPr>
      <w:r>
        <w:t xml:space="preserve">2. En qué consiste y con qué objetivo</w:t>
      </w:r>
    </w:p>
    <w:p>
      <w:pPr>
        <w:pStyle w:val="FirstParagraph"/>
      </w:pPr>
      <w:r>
        <w:t xml:space="preserve">Los hilos tensores son</w:t>
      </w:r>
      <w:r>
        <w:t xml:space="preserve"> </w:t>
      </w:r>
      <w:r>
        <w:rPr>
          <w:b/>
          <w:bCs/>
        </w:rPr>
        <w:t xml:space="preserve">productos sanitarios implantables</w:t>
      </w:r>
      <w:r>
        <w:t xml:space="preserve"> </w:t>
      </w:r>
      <w:r>
        <w:t xml:space="preserve">(habitualmente reabsorbibles, de polidioxanona/PDO, PLLA o policaprolactona) que se introducen bajo la piel con una cánula o aguja para producir un</w:t>
      </w:r>
      <w:r>
        <w:t xml:space="preserve"> </w:t>
      </w:r>
      <w:r>
        <w:rPr>
          <w:b/>
          <w:bCs/>
        </w:rPr>
        <w:t xml:space="preserve">efecto de sostén o reposicionamiento</w:t>
      </w:r>
      <w:r>
        <w:t xml:space="preserve"> </w:t>
      </w:r>
      <w:r>
        <w:t xml:space="preserve">de los tejidos y estimular el colágeno. Objetivo en su caso: tratar la flacidez/definir el contorno en</w:t>
      </w:r>
      <w:r>
        <w:t xml:space="preserve"> </w:t>
      </w:r>
      <w:r>
        <w:rPr>
          <w:b/>
          <w:bCs/>
        </w:rPr>
        <w:t xml:space="preserve">[ZONA]</w:t>
      </w:r>
      <w:r>
        <w:t xml:space="preserve">. El efecto es</w:t>
      </w:r>
      <w:r>
        <w:t xml:space="preserve"> </w:t>
      </w:r>
      <w:r>
        <w:rPr>
          <w:b/>
          <w:bCs/>
        </w:rPr>
        <w:t xml:space="preserve">temporal</w:t>
      </w:r>
      <w:r>
        <w:t xml:space="preserve">: el hilo se reabsorbe en meses y el resultado se atenúa progresivamente.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Producto:</w:t>
      </w:r>
      <w:r>
        <w:t xml:space="preserve"> </w:t>
      </w:r>
      <w:r>
        <w:t xml:space="preserve">[PRODUCTO] ·</w:t>
      </w:r>
      <w:r>
        <w:t xml:space="preserve"> </w:t>
      </w:r>
      <w:r>
        <w:rPr>
          <w:b/>
          <w:bCs/>
        </w:rPr>
        <w:t xml:space="preserve">Lote:</w:t>
      </w:r>
      <w:r>
        <w:t xml:space="preserve"> </w:t>
      </w:r>
      <w:r>
        <w:t xml:space="preserve">[LOTE] ·</w:t>
      </w:r>
      <w:r>
        <w:t xml:space="preserve"> </w:t>
      </w:r>
      <w:r>
        <w:rPr>
          <w:b/>
          <w:bCs/>
        </w:rPr>
        <w:t xml:space="preserve">Caducidad:</w:t>
      </w:r>
      <w:r>
        <w:t xml:space="preserve"> </w:t>
      </w:r>
      <w:r>
        <w:t xml:space="preserve">[CADUCIDAD] ·</w:t>
      </w:r>
      <w:r>
        <w:t xml:space="preserve"> </w:t>
      </w:r>
      <w:r>
        <w:rPr>
          <w:b/>
          <w:bCs/>
        </w:rPr>
        <w:t xml:space="preserve">Nº y tipo de hilos:</w:t>
      </w:r>
      <w:r>
        <w:t xml:space="preserve"> </w:t>
      </w:r>
      <w:r>
        <w:t xml:space="preserve">[___]</w:t>
      </w:r>
    </w:p>
    <w:p>
      <w:pPr>
        <w:pStyle w:val="Compact"/>
        <w:numPr>
          <w:ilvl w:val="0"/>
          <w:numId w:val="1002"/>
        </w:numPr>
      </w:pPr>
      <w:r>
        <w:t xml:space="preserve">La etiqueta/tarjeta de trazabilidad del implante se incorpora a la historia clínica.</w:t>
      </w:r>
    </w:p>
    <w:bookmarkEnd w:id="10"/>
    <w:bookmarkStart w:id="11" w:name="alternativas-incluida-la-de-no-tratarse"/>
    <w:p>
      <w:pPr>
        <w:pStyle w:val="Heading2"/>
      </w:pPr>
      <w:r>
        <w:t xml:space="preserve">3. Alternativas, incluida la de no tratarse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No tratarse:</w:t>
      </w:r>
      <w:r>
        <w:t xml:space="preserve"> </w:t>
      </w:r>
      <w:r>
        <w:t xml:space="preserve">la flacidez permanece; opción válida y sin riesgos.</w:t>
      </w:r>
    </w:p>
    <w:p>
      <w:pPr>
        <w:pStyle w:val="Compact"/>
        <w:numPr>
          <w:ilvl w:val="0"/>
          <w:numId w:val="1003"/>
        </w:numPr>
      </w:pPr>
      <w:r>
        <w:t xml:space="preserve">Otros procedimientos (bioestimuladores, rellenos, radiofrecuencia, láser) con efecto y riesgos distintos.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Cirugía</w:t>
      </w:r>
      <w:r>
        <w:t xml:space="preserve"> </w:t>
      </w:r>
      <w:r>
        <w:t xml:space="preserve">(lifting) cuando la flacidez sea marcada: los hilos</w:t>
      </w:r>
      <w:r>
        <w:t xml:space="preserve"> </w:t>
      </w:r>
      <w:r>
        <w:rPr>
          <w:b/>
          <w:bCs/>
        </w:rPr>
        <w:t xml:space="preserve">no sustituyen</w:t>
      </w:r>
      <w:r>
        <w:t xml:space="preserve"> </w:t>
      </w:r>
      <w:r>
        <w:t xml:space="preserve">a la cirugía y su efecto es menor y más corto → derivación si procede.</w:t>
      </w:r>
    </w:p>
    <w:bookmarkEnd w:id="11"/>
    <w:bookmarkStart w:id="12" w:name="Xf5cb5a55c777c41d0845fe23babd0bf35fde80f"/>
    <w:p>
      <w:pPr>
        <w:pStyle w:val="Heading2"/>
      </w:pPr>
      <w:r>
        <w:t xml:space="preserve">4. Beneficios esperables, variabilidad y obligación de MEDIOS</w:t>
      </w:r>
    </w:p>
    <w:p>
      <w:pPr>
        <w:pStyle w:val="FirstParagraph"/>
      </w:pPr>
      <w:r>
        <w:t xml:space="preserve">Un efecto de tensado/reposicionamiento y mejora de la definición del contorno, más sutil que la cirugía. El resultado es</w:t>
      </w:r>
      <w:r>
        <w:t xml:space="preserve"> </w:t>
      </w:r>
      <w:r>
        <w:rPr>
          <w:b/>
          <w:bCs/>
        </w:rPr>
        <w:t xml:space="preserve">variable</w:t>
      </w:r>
      <w:r>
        <w:t xml:space="preserve"> </w:t>
      </w:r>
      <w:r>
        <w:t xml:space="preserve">según la flacidez de partida, el tipo de tejido, el número de hilos y la respuesta individual; es</w:t>
      </w:r>
      <w:r>
        <w:t xml:space="preserve"> </w:t>
      </w:r>
      <w:r>
        <w:rPr>
          <w:b/>
          <w:bCs/>
        </w:rPr>
        <w:t xml:space="preserve">temporal</w:t>
      </w:r>
      <w:r>
        <w:t xml:space="preserve">. La médica pone los</w:t>
      </w:r>
      <w:r>
        <w:t xml:space="preserve"> </w:t>
      </w:r>
      <w:r>
        <w:rPr>
          <w:b/>
          <w:bCs/>
        </w:rPr>
        <w:t xml:space="preserve">medios</w:t>
      </w:r>
      <w:r>
        <w:t xml:space="preserve"> </w:t>
      </w:r>
      <w:r>
        <w:t xml:space="preserve">conforme a la buena práctica y</w:t>
      </w:r>
      <w:r>
        <w:t xml:space="preserve"> </w:t>
      </w:r>
      <w:r>
        <w:rPr>
          <w:b/>
          <w:bCs/>
        </w:rPr>
        <w:t xml:space="preserve">no garantiza un resultado concreto</w:t>
      </w:r>
      <w:r>
        <w:t xml:space="preserve"> </w:t>
      </w:r>
      <w:r>
        <w:t xml:space="preserve">(obligación de medios, no de resultado; STS 828/2021).</w:t>
      </w:r>
    </w:p>
    <w:bookmarkEnd w:id="12"/>
    <w:bookmarkStart w:id="13" w:name="riesgos"/>
    <w:p>
      <w:pPr>
        <w:pStyle w:val="Heading2"/>
      </w:pPr>
      <w:r>
        <w:t xml:space="preserve">5. Riesgos</w:t>
      </w:r>
    </w:p>
    <w:p>
      <w:pPr>
        <w:pStyle w:val="FirstParagraph"/>
      </w:pPr>
      <w:r>
        <w:rPr>
          <w:b/>
          <w:bCs/>
        </w:rPr>
        <w:t xml:space="preserve">Frecuentes y leves (transitorios):</w:t>
      </w:r>
      <w:r>
        <w:t xml:space="preserve"> </w:t>
      </w:r>
      <w:r>
        <w:t xml:space="preserve">- Dolor, hinchazón,</w:t>
      </w:r>
      <w:r>
        <w:t xml:space="preserve"> </w:t>
      </w:r>
      <w:r>
        <w:rPr>
          <w:b/>
          <w:bCs/>
        </w:rPr>
        <w:t xml:space="preserve">hematomas</w:t>
      </w:r>
      <w:r>
        <w:t xml:space="preserve"> </w:t>
      </w:r>
      <w:r>
        <w:t xml:space="preserve">y sensibilidad en los puntos de entrada y el trayecto.</w:t>
      </w:r>
      <w:r>
        <w:t xml:space="preserve"> </w:t>
      </w:r>
      <w:r>
        <w:t xml:space="preserve">- Sensación de tirantez o de</w:t>
      </w:r>
      <w:r>
        <w:t xml:space="preserve"> </w:t>
      </w:r>
      <w:r>
        <w:t xml:space="preserve">“cuerpo extraño”</w:t>
      </w:r>
      <w:r>
        <w:t xml:space="preserve"> </w:t>
      </w:r>
      <w:r>
        <w:t xml:space="preserve">y pequeños pliegues/frunces de la piel los primeros días.</w:t>
      </w:r>
      <w:r>
        <w:t xml:space="preserve"> </w:t>
      </w:r>
      <w:r>
        <w:t xml:space="preserve">- Molestia al abrir la boca o gesticular las primeras semanas.</w:t>
      </w:r>
    </w:p>
    <w:p>
      <w:pPr>
        <w:pStyle w:val="BodyText"/>
      </w:pPr>
      <w:r>
        <w:rPr>
          <w:b/>
          <w:bCs/>
        </w:rPr>
        <w:t xml:space="preserve">Infrecuentes: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Asimetría</w:t>
      </w:r>
      <w:r>
        <w:t xml:space="preserve"> </w:t>
      </w:r>
      <w:r>
        <w:t xml:space="preserve">o corrección desigual entre ambos lados.</w:t>
      </w:r>
      <w:r>
        <w:t xml:space="preserve"> </w:t>
      </w:r>
      <w:r>
        <w:t xml:space="preserve">- Hilo</w:t>
      </w:r>
      <w:r>
        <w:t xml:space="preserve"> </w:t>
      </w:r>
      <w:r>
        <w:rPr>
          <w:b/>
          <w:bCs/>
        </w:rPr>
        <w:t xml:space="preserve">palpable o visible</w:t>
      </w:r>
      <w:r>
        <w:t xml:space="preserve"> </w:t>
      </w:r>
      <w:r>
        <w:t xml:space="preserve">bajo la piel; hoyuelos o depresiones (dimpling).</w:t>
      </w:r>
      <w:r>
        <w:t xml:space="preserve"> </w:t>
      </w:r>
      <w:r>
        <w:t xml:space="preserve">- Resultado insuficiente o de</w:t>
      </w:r>
      <w:r>
        <w:t xml:space="preserve"> </w:t>
      </w:r>
      <w:r>
        <w:rPr>
          <w:b/>
          <w:bCs/>
        </w:rPr>
        <w:t xml:space="preserve">corta duración</w:t>
      </w:r>
      <w:r>
        <w:t xml:space="preserve">.</w:t>
      </w:r>
      <w:r>
        <w:t xml:space="preserve"> </w:t>
      </w:r>
      <w:r>
        <w:t xml:space="preserve">- Reactivación de herpes (zonas periorales).</w:t>
      </w:r>
    </w:p>
    <w:p>
      <w:pPr>
        <w:pStyle w:val="BodyText"/>
      </w:pPr>
      <w:r>
        <w:t xml:space="preserve">****Riesgos graves (raros):****</w:t>
      </w:r>
      <w:r>
        <w:t xml:space="preserve"> </w:t>
      </w:r>
      <w:r>
        <w:t xml:space="preserve">- ****Extrusión** (el hilo asoma o se exterioriza) que obliga a retirarlo.</w:t>
      </w:r>
      <w:r>
        <w:rPr>
          <w:b/>
          <w:bCs/>
        </w:rPr>
        <w:t xml:space="preserve"> </w:t>
      </w:r>
      <w:r>
        <w:rPr>
          <w:b/>
          <w:bCs/>
        </w:rPr>
        <w:t xml:space="preserve">- Infección</w:t>
      </w:r>
      <w:r>
        <w:t xml:space="preserve"> </w:t>
      </w:r>
      <w:r>
        <w:t xml:space="preserve">local o del trayecto, que puede requerir antibióticos o extracción.</w:t>
      </w:r>
      <w:r>
        <w:rPr>
          <w:b/>
          <w:bCs/>
        </w:rPr>
        <w:t xml:space="preserve"> </w:t>
      </w:r>
      <w:r>
        <w:rPr>
          <w:b/>
          <w:bCs/>
        </w:rPr>
        <w:t xml:space="preserve">-</w:t>
      </w:r>
      <w:r>
        <w:rPr>
          <w:b/>
          <w:bCs/>
        </w:rPr>
        <w:t xml:space="preserve"> </w:t>
      </w:r>
      <w:r>
        <w:t xml:space="preserve">Granuloma** o reacción inflamatoria alrededor del hilo.</w:t>
      </w:r>
      <w:r>
        <w:t xml:space="preserve"> </w:t>
      </w:r>
      <w:r>
        <w:t xml:space="preserve">- Lesión de un</w:t>
      </w:r>
      <w:r>
        <w:t xml:space="preserve"> </w:t>
      </w:r>
      <w:r>
        <w:rPr>
          <w:b/>
          <w:bCs/>
        </w:rPr>
        <w:t xml:space="preserve">nervio</w:t>
      </w:r>
      <w:r>
        <w:t xml:space="preserve"> </w:t>
      </w:r>
      <w:r>
        <w:t xml:space="preserve">con debilidad o alteración de la sensibilidad (parestesias), generalmente transitoria.</w:t>
      </w:r>
      <w:r>
        <w:t xml:space="preserve"> </w:t>
      </w:r>
      <w:r>
        <w:t xml:space="preserve">- Rotura o migración del hilo.</w:t>
      </w:r>
    </w:p>
    <w:bookmarkEnd w:id="13"/>
    <w:bookmarkStart w:id="14" w:name="X2fbeb06303a91ac093e147ddcee270ad27f39c0"/>
    <w:p>
      <w:pPr>
        <w:pStyle w:val="Heading2"/>
      </w:pPr>
      <w:r>
        <w:t xml:space="preserve">6. Contraindicaciones y qué debe declarar el/la paciente</w:t>
      </w:r>
    </w:p>
    <w:p>
      <w:pPr>
        <w:pStyle w:val="FirstParagraph"/>
      </w:pPr>
      <w:r>
        <w:rPr>
          <w:b/>
          <w:bCs/>
        </w:rPr>
        <w:t xml:space="preserve">Contraindicado / precaución en:</w:t>
      </w:r>
      <w:r>
        <w:t xml:space="preserve"> </w:t>
      </w:r>
      <w:r>
        <w:t xml:space="preserve">- ****Embarazo y lactancia.****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Infección</w:t>
      </w:r>
      <w:r>
        <w:t xml:space="preserve"> </w:t>
      </w:r>
      <w:r>
        <w:t xml:space="preserve">activa en la zona o cercana (incluidas infecciones dentales).</w:t>
      </w:r>
      <w:r>
        <w:t xml:space="preserve"> </w:t>
      </w:r>
      <w:r>
        <w:t xml:space="preserve">- Enfermedad autoinmune o inmunodepresión; tendencia a</w:t>
      </w:r>
      <w:r>
        <w:t xml:space="preserve"> </w:t>
      </w:r>
      <w:r>
        <w:rPr>
          <w:b/>
          <w:bCs/>
        </w:rPr>
        <w:t xml:space="preserve">queloides</w:t>
      </w:r>
      <w:r>
        <w:t xml:space="preserve">.</w:t>
      </w:r>
      <w:r>
        <w:t xml:space="preserve"> </w:t>
      </w:r>
      <w:r>
        <w:t xml:space="preserve">- Trastornos de la coagulación o anticoagulación; alergia al material.</w:t>
      </w:r>
      <w:r>
        <w:t xml:space="preserve"> </w:t>
      </w:r>
      <w:r>
        <w:t xml:space="preserve">- Expectativas no realistas (confundir el efecto con el de un lifting quirúrgico).</w:t>
      </w:r>
    </w:p>
    <w:p>
      <w:pPr>
        <w:pStyle w:val="BodyText"/>
      </w:pPr>
      <w:r>
        <w:rPr>
          <w:b/>
          <w:bCs/>
        </w:rPr>
        <w:t xml:space="preserve">Debe declarar además:</w:t>
      </w:r>
      <w:r>
        <w:t xml:space="preserve"> </w:t>
      </w:r>
      <w:r>
        <w:t xml:space="preserve">rellenos o hilos previos en la zona, medicación (anticoagulantes/antiagregantes, inmunosupresores), herpes de repetición y cirugías faciales previas.</w:t>
      </w:r>
    </w:p>
    <w:bookmarkEnd w:id="14"/>
    <w:bookmarkStart w:id="15" w:name="cuidados-posteriores"/>
    <w:p>
      <w:pPr>
        <w:pStyle w:val="Heading2"/>
      </w:pPr>
      <w:r>
        <w:t xml:space="preserve">7. Cuidados posteriores</w:t>
      </w:r>
    </w:p>
    <w:p>
      <w:pPr>
        <w:pStyle w:val="Compact"/>
        <w:numPr>
          <w:ilvl w:val="0"/>
          <w:numId w:val="1004"/>
        </w:numPr>
      </w:pPr>
      <w:r>
        <w:t xml:space="preserve">Dormir boca arriba y con la cabeza algo elevada los primeros días; evitar dormir de lado sobre la zona.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No masajear</w:t>
      </w:r>
      <w:r>
        <w:t xml:space="preserve"> </w:t>
      </w:r>
      <w:r>
        <w:t xml:space="preserve">ni realizar tratamientos faciales, gestos amplios, apertura forzada de la boca, ejercicio intenso, sauna ni trabajos dentales durante 2-4 semanas, según se indique.</w:t>
      </w:r>
    </w:p>
    <w:p>
      <w:pPr>
        <w:pStyle w:val="Compact"/>
        <w:numPr>
          <w:ilvl w:val="0"/>
          <w:numId w:val="1004"/>
        </w:numPr>
      </w:pPr>
      <w:r>
        <w:t xml:space="preserve">Dieta blanda si se ha tratado el tercio inferior facial.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Consultará</w:t>
      </w:r>
      <w:r>
        <w:t xml:space="preserve"> </w:t>
      </w:r>
      <w:r>
        <w:t xml:space="preserve">si aparece dolor intenso y creciente, enrojecimiento con calor, supuración, fiebre o si un hilo se exterioriza. Contacto: [TELÉFONO].</w:t>
      </w:r>
    </w:p>
    <w:bookmarkEnd w:id="15"/>
    <w:bookmarkStart w:id="16" w:name="registro-fotográfico-rgpd"/>
    <w:p>
      <w:pPr>
        <w:pStyle w:val="Heading2"/>
      </w:pPr>
      <w:r>
        <w:t xml:space="preserve">8. Registro fotográfico (RGPD)</w:t>
      </w:r>
    </w:p>
    <w:p>
      <w:pPr>
        <w:pStyle w:val="FirstParagraph"/>
      </w:pPr>
      <w:r>
        <w:t xml:space="preserve">El registro fotográfico pre/post con fines clínicos</w:t>
      </w:r>
      <w:r>
        <w:t xml:space="preserve"> </w:t>
      </w:r>
      <w:r>
        <w:rPr>
          <w:b/>
          <w:bCs/>
        </w:rPr>
        <w:t xml:space="preserve">forma parte de mi historia clínica</w:t>
      </w:r>
      <w:r>
        <w:t xml:space="preserve"> </w:t>
      </w:r>
      <w:r>
        <w:t xml:space="preserve">(documentación asistencial; art. 6.1.b y 9.2.h RGPD), según la</w:t>
      </w:r>
      <w:r>
        <w:t xml:space="preserve"> </w:t>
      </w:r>
      <w:r>
        <w:rPr>
          <w:b/>
          <w:bCs/>
        </w:rPr>
        <w:t xml:space="preserve">Ficha de Valoración y Registro Fotográfico</w:t>
      </w:r>
      <w:r>
        <w:t xml:space="preserve">.</w:t>
      </w:r>
      <w:r>
        <w:t xml:space="preserve"> </w:t>
      </w:r>
      <w:r>
        <w:rPr>
          <w:b/>
          <w:bCs/>
        </w:rPr>
        <w:t xml:space="preserve">Cualquier otro uso</w:t>
      </w:r>
      <w:r>
        <w:t xml:space="preserve"> </w:t>
      </w:r>
      <w:r>
        <w:t xml:space="preserve">(docencia, redes, web, publicidad) requiere mi</w:t>
      </w:r>
      <w:r>
        <w:t xml:space="preserve"> </w:t>
      </w:r>
      <w:r>
        <w:rPr>
          <w:b/>
          <w:bCs/>
        </w:rPr>
        <w:t xml:space="preserve">consentimiento separado, específico y revocable</w:t>
      </w:r>
      <w:r>
        <w:t xml:space="preserve"> </w:t>
      </w:r>
      <w:r>
        <w:t xml:space="preserve">(documento</w:t>
      </w:r>
      <w:r>
        <w:t xml:space="preserve"> </w:t>
      </w:r>
      <w:r>
        <w:rPr>
          <w:b/>
          <w:bCs/>
        </w:rPr>
        <w:t xml:space="preserve">Consentimiento de Datos e Imagen</w:t>
      </w:r>
      <w:r>
        <w:t xml:space="preserve">).</w:t>
      </w:r>
      <w:r>
        <w:t xml:space="preserve"> </w:t>
      </w:r>
      <w:r>
        <w:t xml:space="preserve">☐ He sido informado/a de que la fotografía clínica forma parte de mi historia clínica.</w:t>
      </w:r>
    </w:p>
    <w:bookmarkEnd w:id="16"/>
    <w:bookmarkStart w:id="17" w:name="declaración-de-comprensión"/>
    <w:p>
      <w:pPr>
        <w:pStyle w:val="Heading2"/>
      </w:pPr>
      <w:r>
        <w:t xml:space="preserve">9. Declaración de comprensión</w:t>
      </w:r>
    </w:p>
    <w:p>
      <w:pPr>
        <w:pStyle w:val="FirstParagraph"/>
      </w:pPr>
      <w:r>
        <w:t xml:space="preserve">He leído y comprendido esta información, se me ha explicado en lenguaje claro, he podido</w:t>
      </w:r>
      <w:r>
        <w:t xml:space="preserve"> </w:t>
      </w:r>
      <w:r>
        <w:rPr>
          <w:b/>
          <w:bCs/>
        </w:rPr>
        <w:t xml:space="preserve">preguntar</w:t>
      </w:r>
      <w:r>
        <w:t xml:space="preserve"> </w:t>
      </w:r>
      <w:r>
        <w:t xml:space="preserve">y se me ha</w:t>
      </w:r>
      <w:r>
        <w:t xml:space="preserve"> </w:t>
      </w:r>
      <w:r>
        <w:rPr>
          <w:b/>
          <w:bCs/>
        </w:rPr>
        <w:t xml:space="preserve">respondido</w:t>
      </w:r>
      <w:r>
        <w:t xml:space="preserve">. He dispuesto de tiempo para decidir. Recibo copia.</w:t>
      </w:r>
    </w:p>
    <w:bookmarkEnd w:id="17"/>
    <w:bookmarkStart w:id="18" w:name="revocabilidad"/>
    <w:p>
      <w:pPr>
        <w:pStyle w:val="Heading2"/>
      </w:pPr>
      <w:r>
        <w:t xml:space="preserve">10. Revocabilidad</w:t>
      </w:r>
    </w:p>
    <w:p>
      <w:pPr>
        <w:pStyle w:val="FirstParagraph"/>
      </w:pPr>
      <w:r>
        <w:t xml:space="preserve">Puedo</w:t>
      </w:r>
      <w:r>
        <w:t xml:space="preserve"> </w:t>
      </w:r>
      <w:r>
        <w:rPr>
          <w:b/>
          <w:bCs/>
        </w:rPr>
        <w:t xml:space="preserve">revocar</w:t>
      </w:r>
      <w:r>
        <w:t xml:space="preserve"> </w:t>
      </w:r>
      <w:r>
        <w:t xml:space="preserve">este consentimiento en cualquier momento, sin justificación y sin perjuicio para mi atención.</w:t>
      </w:r>
    </w:p>
    <w:bookmarkEnd w:id="18"/>
    <w:bookmarkStart w:id="19" w:name="firmas-antes-del-procedimiento"/>
    <w:p>
      <w:pPr>
        <w:pStyle w:val="Heading2"/>
      </w:pPr>
      <w:r>
        <w:t xml:space="preserve">11. Firmas (ANTES del procedimiento)</w:t>
      </w:r>
    </w:p>
    <w:p>
      <w:pPr>
        <w:pStyle w:val="FirstParagraph"/>
      </w:pPr>
      <w:r>
        <w:t xml:space="preserve">Firmado en [LOCALIDAD], a [FECHA].</w:t>
      </w:r>
    </w:p>
    <w:p>
      <w:pPr>
        <w:pStyle w:val="Compact"/>
        <w:numPr>
          <w:ilvl w:val="0"/>
          <w:numId w:val="1005"/>
        </w:numPr>
      </w:pPr>
      <w:r>
        <w:t xml:space="preserve">Paciente / representante legal: __________________ DNI: [DNI]</w:t>
      </w:r>
    </w:p>
    <w:p>
      <w:pPr>
        <w:pStyle w:val="Compact"/>
        <w:numPr>
          <w:ilvl w:val="0"/>
          <w:numId w:val="1005"/>
        </w:numPr>
      </w:pPr>
      <w:r>
        <w:t xml:space="preserve">Médica: Dra. [NOMBRE], colegiada [Nº COLEGIADA]: __________________</w:t>
      </w:r>
    </w:p>
    <w:bookmarkEnd w:id="19"/>
    <w:bookmarkEnd w:id="2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2026-07-04T01:14:51Z</dcterms:created>
  <dcterms:modified xsi:type="dcterms:W3CDTF">2026-07-04T01:14:51Z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