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63b86a448d8e5b9834e46d1bab4a386e8636b8"/>
    <w:p>
      <w:pPr>
        <w:pStyle w:val="Heading1"/>
      </w:pPr>
      <w:r>
        <w:t xml:space="preserve">CONSENTIMIENTO INFORMADO, TOXINA BOTULÍNICA TIPO A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  <w:r>
        <w:t xml:space="preserve"> </w:t>
      </w:r>
      <w:r>
        <w:rPr>
          <w:b/>
          <w:bCs/>
        </w:rPr>
        <w:t xml:space="preserve">Marco legal:</w:t>
      </w:r>
      <w:r>
        <w:t xml:space="preserve"> </w:t>
      </w:r>
      <w:r>
        <w:t xml:space="preserve">Ley 41/2002, de autonomía del/de la paciente (información y consentimiento por escrito en procedimientos con riesgo).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 ·</w:t>
      </w:r>
      <w:r>
        <w:t xml:space="preserve"> </w:t>
      </w:r>
      <w:r>
        <w:rPr>
          <w:b/>
          <w:bCs/>
        </w:rPr>
        <w:t xml:space="preserve">DNI / NIE:</w:t>
      </w:r>
      <w:r>
        <w:t xml:space="preserve"> </w:t>
      </w:r>
      <w:r>
        <w:t xml:space="preserve">[DNI] ·</w:t>
      </w:r>
      <w:r>
        <w:t xml:space="preserve"> </w:t>
      </w: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firma (anterior al procedimiento):</w:t>
      </w:r>
      <w:r>
        <w:t xml:space="preserve"> </w:t>
      </w:r>
      <w:r>
        <w:t xml:space="preserve">[FECHA]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La toxina botulínica tipo A es un</w:t>
      </w:r>
      <w:r>
        <w:t xml:space="preserve"> </w:t>
      </w:r>
      <w:r>
        <w:rPr>
          <w:b/>
          <w:bCs/>
        </w:rPr>
        <w:t xml:space="preserve">medicamento de prescripción médica</w:t>
      </w:r>
      <w:r>
        <w:t xml:space="preserve"> </w:t>
      </w:r>
      <w:r>
        <w:t xml:space="preserve">que, inyectado en pequeñas dosis en músculos concretos de la cara,</w:t>
      </w:r>
      <w:r>
        <w:t xml:space="preserve"> </w:t>
      </w:r>
      <w:r>
        <w:rPr>
          <w:b/>
          <w:bCs/>
        </w:rPr>
        <w:t xml:space="preserve">relaja</w:t>
      </w:r>
      <w:r>
        <w:t xml:space="preserve"> </w:t>
      </w:r>
      <w:r>
        <w:t xml:space="preserve">su contracción y</w:t>
      </w:r>
      <w:r>
        <w:t xml:space="preserve"> </w:t>
      </w:r>
      <w:r>
        <w:rPr>
          <w:b/>
          <w:bCs/>
        </w:rPr>
        <w:t xml:space="preserve">atenúa las arrugas de expresión</w:t>
      </w:r>
      <w:r>
        <w:t xml:space="preserve"> </w:t>
      </w:r>
      <w:r>
        <w:t xml:space="preserve">(entre cejas, frente y contorno de los ojos, principalmente). Se administra mediante microinyecciones en la(s) zona(s):</w:t>
      </w:r>
      <w:r>
        <w:t xml:space="preserve"> </w:t>
      </w:r>
      <w:r>
        <w:rPr>
          <w:b/>
          <w:bCs/>
        </w:rPr>
        <w:t xml:space="preserve">[ZONA]</w:t>
      </w:r>
      <w:r>
        <w:t xml:space="preserve">. El efecto</w:t>
      </w:r>
      <w:r>
        <w:t xml:space="preserve"> </w:t>
      </w:r>
      <w:r>
        <w:rPr>
          <w:b/>
          <w:bCs/>
        </w:rPr>
        <w:t xml:space="preserve">no es inmediato</w:t>
      </w:r>
      <w:r>
        <w:t xml:space="preserve">: aparece a los 3-7 días, es máximo hacia los 15 días y es</w:t>
      </w:r>
      <w:r>
        <w:t xml:space="preserve"> </w:t>
      </w:r>
      <w:r>
        <w:rPr>
          <w:b/>
          <w:bCs/>
        </w:rPr>
        <w:t xml:space="preserve">temporal</w:t>
      </w:r>
      <w:r>
        <w:t xml:space="preserve">, con una duración habitual de</w:t>
      </w:r>
      <w:r>
        <w:t xml:space="preserve"> </w:t>
      </w:r>
      <w:r>
        <w:rPr>
          <w:b/>
          <w:bCs/>
        </w:rPr>
        <w:t xml:space="preserve">3-4 meses</w:t>
      </w:r>
      <w:r>
        <w:t xml:space="preserve">, tras lo cual el músculo recupera su movilidad.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Producto:</w:t>
      </w:r>
      <w:r>
        <w:t xml:space="preserve"> </w:t>
      </w:r>
      <w:r>
        <w:t xml:space="preserve">[PRODUCTO] ·</w:t>
      </w:r>
      <w:r>
        <w:t xml:space="preserve"> </w:t>
      </w:r>
      <w:r>
        <w:rPr>
          <w:b/>
          <w:bCs/>
        </w:rPr>
        <w:t xml:space="preserve">Lote:</w:t>
      </w:r>
      <w:r>
        <w:t xml:space="preserve"> </w:t>
      </w:r>
      <w:r>
        <w:t xml:space="preserve">[LOTE] ·</w:t>
      </w:r>
      <w:r>
        <w:t xml:space="preserve"> </w:t>
      </w:r>
      <w:r>
        <w:rPr>
          <w:b/>
          <w:bCs/>
        </w:rPr>
        <w:t xml:space="preserve">Caducidad:</w:t>
      </w:r>
      <w:r>
        <w:t xml:space="preserve"> </w:t>
      </w:r>
      <w:r>
        <w:t xml:space="preserve">[CADUCIDAD] ·</w:t>
      </w:r>
      <w:r>
        <w:t xml:space="preserve"> </w:t>
      </w:r>
      <w:r>
        <w:rPr>
          <w:b/>
          <w:bCs/>
        </w:rPr>
        <w:t xml:space="preserve">Nº de unidades: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Uso fuera de indicación (off-label):</w:t>
      </w:r>
      <w:r>
        <w:t xml:space="preserve"> </w:t>
      </w:r>
      <w:r>
        <w:t xml:space="preserve">algunas localizaciones o indicaciones estéticas pueden no figurar en la ficha técnica autorizada. Cuando así sea, se informa expresamente y se registra en la historia clínica. ☐ Aplica ☐ No aplica → [___]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 tratarse:</w:t>
      </w:r>
      <w:r>
        <w:t xml:space="preserve"> </w:t>
      </w:r>
      <w:r>
        <w:t xml:space="preserve">las arrugas de expresión permanecen; opción válida y sin riesgos.</w:t>
      </w:r>
    </w:p>
    <w:p>
      <w:pPr>
        <w:pStyle w:val="Compact"/>
        <w:numPr>
          <w:ilvl w:val="0"/>
          <w:numId w:val="1003"/>
        </w:numPr>
      </w:pPr>
      <w:r>
        <w:t xml:space="preserve">Cosmética tópica, medidas de fotoprotección y hábitos.</w:t>
      </w:r>
    </w:p>
    <w:p>
      <w:pPr>
        <w:pStyle w:val="Compact"/>
        <w:numPr>
          <w:ilvl w:val="0"/>
          <w:numId w:val="1003"/>
        </w:numPr>
      </w:pPr>
      <w:r>
        <w:t xml:space="preserve">Otros procedimientos (p. ej. rellenos para arrugas estáticas, láser, peeling) con indicaciones y riesgos distintos.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Suavización de las arrugas dinámicas tratadas y un aspecto más descansado. El grado de respuesta</w:t>
      </w:r>
      <w:r>
        <w:t xml:space="preserve"> </w:t>
      </w:r>
      <w:r>
        <w:rPr>
          <w:b/>
          <w:bCs/>
        </w:rPr>
        <w:t xml:space="preserve">varía</w:t>
      </w:r>
      <w:r>
        <w:t xml:space="preserve"> </w:t>
      </w:r>
      <w:r>
        <w:t xml:space="preserve">según la fuerza muscular, la dosis, la anatomía y la respuesta individual; puede requerir un</w:t>
      </w:r>
      <w:r>
        <w:t xml:space="preserve"> </w:t>
      </w:r>
      <w:r>
        <w:rPr>
          <w:b/>
          <w:bCs/>
        </w:rPr>
        <w:t xml:space="preserve">retoque</w:t>
      </w:r>
      <w:r>
        <w:t xml:space="preserve"> </w:t>
      </w:r>
      <w:r>
        <w:t xml:space="preserve">a los 15 días y</w:t>
      </w:r>
      <w:r>
        <w:t xml:space="preserve"> </w:t>
      </w:r>
      <w:r>
        <w:rPr>
          <w:b/>
          <w:bCs/>
        </w:rPr>
        <w:t xml:space="preserve">repetición periódica</w:t>
      </w:r>
      <w:r>
        <w:t xml:space="preserve"> </w:t>
      </w:r>
      <w:r>
        <w:t xml:space="preserve">para mantener el efecto. La médica pone los medios conforme a la buena práctica y</w:t>
      </w:r>
      <w:r>
        <w:t xml:space="preserve"> </w:t>
      </w:r>
      <w:r>
        <w:rPr>
          <w:b/>
          <w:bCs/>
        </w:rPr>
        <w:t xml:space="preserve">no garantiza un resultado concreto</w:t>
      </w:r>
      <w:r>
        <w:t xml:space="preserve"> </w:t>
      </w:r>
      <w:r>
        <w:t xml:space="preserve">(obligación de medios, no de resultado; STS 828/2021).</w:t>
      </w:r>
    </w:p>
    <w:bookmarkEnd w:id="12"/>
    <w:bookmarkStart w:id="13" w:name="riesgos"/>
    <w:p>
      <w:pPr>
        <w:pStyle w:val="Heading2"/>
      </w:pPr>
      <w:r>
        <w:t xml:space="preserve">5. Riesgos</w:t>
      </w:r>
    </w:p>
    <w:p>
      <w:pPr>
        <w:pStyle w:val="FirstParagraph"/>
      </w:pPr>
      <w:r>
        <w:rPr>
          <w:b/>
          <w:bCs/>
        </w:rPr>
        <w:t xml:space="preserve">Frecuentes y leves (habitualmente transitorios):</w:t>
      </w:r>
      <w:r>
        <w:t xml:space="preserve"> </w:t>
      </w:r>
      <w:r>
        <w:t xml:space="preserve">- Dolor, enrojecimiento, pequeño hematoma o hinchazón en los puntos de inyección.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Cefalea</w:t>
      </w:r>
      <w:r>
        <w:t xml:space="preserve"> </w:t>
      </w:r>
      <w:r>
        <w:t xml:space="preserve">los primeros días.</w:t>
      </w:r>
      <w:r>
        <w:t xml:space="preserve"> </w:t>
      </w:r>
      <w:r>
        <w:t xml:space="preserve">- Sensación de tirantez o pesadez local.</w:t>
      </w:r>
    </w:p>
    <w:p>
      <w:pPr>
        <w:pStyle w:val="BodyText"/>
      </w:pPr>
      <w:r>
        <w:rPr>
          <w:b/>
          <w:bCs/>
        </w:rPr>
        <w:t xml:space="preserve">Infrecuentes: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Asimetría</w:t>
      </w:r>
      <w:r>
        <w:t xml:space="preserve"> </w:t>
      </w:r>
      <w:r>
        <w:t xml:space="preserve">o corrección desigual entre ambos lados (puede requerir retoque).</w:t>
      </w:r>
      <w:r>
        <w:t xml:space="preserve"> </w:t>
      </w:r>
      <w:r>
        <w:t xml:space="preserve">- Efecto insuficiente o</w:t>
      </w:r>
      <w:r>
        <w:t xml:space="preserve"> </w:t>
      </w:r>
      <w:r>
        <w:rPr>
          <w:b/>
          <w:bCs/>
        </w:rPr>
        <w:t xml:space="preserve">falta de respuesta</w:t>
      </w:r>
      <w:r>
        <w:t xml:space="preserve"> </w:t>
      </w:r>
      <w:r>
        <w:t xml:space="preserve">(incluida la posible resistencia por anticuerpos tras usos repetidos).</w:t>
      </w:r>
      <w:r>
        <w:t xml:space="preserve"> </w:t>
      </w:r>
      <w:r>
        <w:t xml:space="preserve">- Síntomas pseudogripales leves.</w:t>
      </w:r>
    </w:p>
    <w:p>
      <w:pPr>
        <w:pStyle w:val="BodyText"/>
      </w:pPr>
      <w:r>
        <w:t xml:space="preserve">****Riesgos graves o específicos (poco frecuentes):****</w:t>
      </w:r>
      <w:r>
        <w:t xml:space="preserve"> </w:t>
      </w:r>
      <w:r>
        <w:t xml:space="preserve">- ****Ptosis palpebral** (caída del párpado) o</w:t>
      </w:r>
      <w:r>
        <w:t xml:space="preserve"> </w:t>
      </w:r>
      <w:r>
        <w:rPr>
          <w:b/>
          <w:bCs/>
        </w:rPr>
        <w:t xml:space="preserve">ptosis/descenso de la ceja</w:t>
      </w:r>
      <w:r>
        <w:t xml:space="preserve"> </w:t>
      </w:r>
      <w:r>
        <w:t xml:space="preserve">por</w:t>
      </w:r>
      <w:r>
        <w:t xml:space="preserve"> </w:t>
      </w:r>
      <w:r>
        <w:rPr>
          <w:b/>
          <w:bCs/>
        </w:rPr>
        <w:t xml:space="preserve">difusión</w:t>
      </w:r>
      <w:r>
        <w:t xml:space="preserve"> </w:t>
      </w:r>
      <w:r>
        <w:t xml:space="preserve">del producto a músculos vecinos; es</w:t>
      </w:r>
      <w:r>
        <w:t xml:space="preserve"> </w:t>
      </w:r>
      <w:r>
        <w:rPr>
          <w:b/>
          <w:bCs/>
        </w:rPr>
        <w:t xml:space="preserve">transitoria</w:t>
      </w:r>
      <w:r>
        <w:t xml:space="preserve"> </w:t>
      </w:r>
      <w:r>
        <w:t xml:space="preserve">(semanas) y se atenúa al pasar el efecto.</w:t>
      </w:r>
      <w:r>
        <w:rPr>
          <w:b/>
          <w:bCs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t xml:space="preserve">Diplopía** (visión doble) o alteración de la mirada por afectación de la musculatura ocular.</w:t>
      </w:r>
      <w:r>
        <w:t xml:space="preserve"> </w:t>
      </w:r>
      <w:r>
        <w:t xml:space="preserve">- Asimetría de la sonrisa o dificultad para gesticular si difunde a los músculos periorales.</w:t>
      </w:r>
      <w:r>
        <w:t xml:space="preserve"> </w:t>
      </w:r>
      <w:r>
        <w:t xml:space="preserve">- En infiltraciones cervicales o de dosis altas: dificultad para tragar (</w:t>
      </w:r>
      <w:r>
        <w:rPr>
          <w:b/>
          <w:bCs/>
        </w:rPr>
        <w:t xml:space="preserve">disfagia</w:t>
      </w:r>
      <w:r>
        <w:t xml:space="preserve">) o debilidad local.</w:t>
      </w:r>
      <w:r>
        <w:t xml:space="preserve"> </w:t>
      </w:r>
      <w:r>
        <w:t xml:space="preserve">- Reacción alérgica/hipersensibilidad al producto (rara).</w:t>
      </w:r>
      <w:r>
        <w:t xml:space="preserve"> </w:t>
      </w:r>
      <w:r>
        <w:t xml:space="preserve">- Difusión del efecto a distancia (excepcional a las dosis estéticas).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rPr>
          <w:b/>
          <w:bCs/>
        </w:rPr>
        <w:t xml:space="preserve">Contraindicado en:</w:t>
      </w:r>
      <w:r>
        <w:t xml:space="preserve"> </w:t>
      </w:r>
      <w:r>
        <w:t xml:space="preserve">- ****Embarazo y lactancia.****</w:t>
      </w:r>
      <w:r>
        <w:t xml:space="preserve"> </w:t>
      </w:r>
      <w:r>
        <w:t xml:space="preserve">- ****Enfermedades neuromusculares** (miastenia gravis, síndrome de Eaton-Lambert, ELA y afines).</w:t>
      </w:r>
      <w:r>
        <w:rPr>
          <w:b/>
          <w:bCs/>
        </w:rPr>
        <w:t xml:space="preserve"> </w:t>
      </w:r>
      <w:r>
        <w:rPr>
          <w:b/>
          <w:bCs/>
        </w:rPr>
        <w:t xml:space="preserve">- Hipersensibilidad conocida a la toxina botulínica o a sus excipientes.</w:t>
      </w:r>
      <w:r>
        <w:rPr>
          <w:b/>
          <w:bCs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t xml:space="preserve">Infección o inflamación activa** en la zona a tratar.</w:t>
      </w:r>
    </w:p>
    <w:p>
      <w:pPr>
        <w:pStyle w:val="BodyText"/>
      </w:pPr>
      <w:r>
        <w:rPr>
          <w:b/>
          <w:bCs/>
        </w:rPr>
        <w:t xml:space="preserve">Debe declarar además:</w:t>
      </w:r>
      <w:r>
        <w:t xml:space="preserve"> </w:t>
      </w:r>
      <w:r>
        <w:t xml:space="preserve">medicación que pueda potenciar el efecto (</w:t>
      </w:r>
      <w:r>
        <w:rPr>
          <w:b/>
          <w:bCs/>
        </w:rPr>
        <w:t xml:space="preserve">aminoglucósidos</w:t>
      </w:r>
      <w:r>
        <w:t xml:space="preserve">, relajantes musculares), anticoagulantes/antiagregantes, cirugías o tratamientos faciales recientes, y cualquier enfermedad neurológica.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Compact"/>
        <w:numPr>
          <w:ilvl w:val="0"/>
          <w:numId w:val="1004"/>
        </w:numPr>
      </w:pPr>
      <w:r>
        <w:t xml:space="preserve">No frotar ni masajear la zona tratada durante las primeras horas; mantener la cabeza erguida y evitar tumbarse las</w:t>
      </w:r>
      <w:r>
        <w:t xml:space="preserve"> </w:t>
      </w:r>
      <w:r>
        <w:rPr>
          <w:b/>
          <w:bCs/>
        </w:rPr>
        <w:t xml:space="preserve">4 horas</w:t>
      </w:r>
      <w:r>
        <w:t xml:space="preserve"> </w:t>
      </w:r>
      <w:r>
        <w:t xml:space="preserve">siguientes.</w:t>
      </w:r>
    </w:p>
    <w:p>
      <w:pPr>
        <w:pStyle w:val="Compact"/>
        <w:numPr>
          <w:ilvl w:val="0"/>
          <w:numId w:val="1004"/>
        </w:numPr>
      </w:pPr>
      <w:r>
        <w:t xml:space="preserve">Evitar ejercicio intenso, calor extremo (sauna) y consumo de alcohol el primer día.</w:t>
      </w:r>
    </w:p>
    <w:p>
      <w:pPr>
        <w:pStyle w:val="Compact"/>
        <w:numPr>
          <w:ilvl w:val="0"/>
          <w:numId w:val="1004"/>
        </w:numPr>
      </w:pPr>
      <w:r>
        <w:t xml:space="preserve">Puede contraer voluntariamente los músculos tratados las primeras horas, según se le indique.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Consultará</w:t>
      </w:r>
      <w:r>
        <w:t xml:space="preserve"> </w:t>
      </w:r>
      <w:r>
        <w:t xml:space="preserve">si aparece caída marcada del párpado, visión doble o cualquier síntoma que le preocupe. Contacto: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pre/post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He leído y comprendido esta información, se me ha explicado en lenguaje claro, he podido</w:t>
      </w:r>
      <w:r>
        <w:t xml:space="preserve"> </w:t>
      </w:r>
      <w:r>
        <w:rPr>
          <w:b/>
          <w:bCs/>
        </w:rPr>
        <w:t xml:space="preserve">preguntar</w:t>
      </w:r>
      <w:r>
        <w:t xml:space="preserve"> </w:t>
      </w:r>
      <w:r>
        <w:t xml:space="preserve">y se me ha</w:t>
      </w:r>
      <w:r>
        <w:t xml:space="preserve"> </w:t>
      </w:r>
      <w:r>
        <w:rPr>
          <w:b/>
          <w:bCs/>
        </w:rPr>
        <w:t xml:space="preserve">respondido</w:t>
      </w:r>
      <w:r>
        <w:t xml:space="preserve">. He dispuesto de tiempo para decidir. Recibo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sin justificación y sin perjuicio para mi atención.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5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5"/>
        </w:numPr>
      </w:pPr>
      <w:r>
        <w:t xml:space="preserve">Médica: Dra. [NOMBRE], colegiada [Nº COLEGIADA]: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2026-07-04T01:14:50Z</dcterms:created>
  <dcterms:modified xsi:type="dcterms:W3CDTF">2026-07-04T01:14:50Z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