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u48-hoja-de-ruta-en-una-página"/>
    <w:p>
      <w:pPr>
        <w:pStyle w:val="Heading1"/>
      </w:pPr>
      <w:r>
        <w:t xml:space="preserve">U48 · Hoja de ruta en una página</w:t>
      </w:r>
    </w:p>
    <w:p>
      <w:pPr>
        <w:pStyle w:val="FirstParagraph"/>
      </w:pPr>
      <w:r>
        <w:rPr>
          <w:b/>
          <w:bCs/>
        </w:rPr>
        <w:t xml:space="preserve">Proyecto:</w:t>
      </w:r>
      <w:r>
        <w:t xml:space="preserve"> </w:t>
      </w:r>
      <w:r>
        <w:t xml:space="preserve">gabinete de medicina estética (unidad U.48) · Andalucía · autónoma en pluriactividad</w:t>
      </w:r>
      <w:r>
        <w:t xml:space="preserve"> </w:t>
      </w:r>
      <w:r>
        <w:rPr>
          <w:b/>
          <w:bCs/>
        </w:rPr>
        <w:t xml:space="preserve">Sobreespecialización:</w:t>
      </w:r>
      <w:r>
        <w:t xml:space="preserve"> </w:t>
      </w:r>
      <w:r>
        <w:t xml:space="preserve">rejuvenecimiento post-adelgazamiento (GLP-1) + mujer en peri/menopausia (45-55)</w:t>
      </w:r>
    </w:p>
    <w:p>
      <w:r>
        <w:pict>
          <v:rect style="width:0;height:1.5pt" o:hralign="center" o:hrstd="t" o:hr="t"/>
        </w:pict>
      </w:r>
    </w:p>
    <w:bookmarkStart w:id="9" w:name="los-10-pasos-en-orden"/>
    <w:p>
      <w:pPr>
        <w:pStyle w:val="Heading2"/>
      </w:pPr>
      <w:r>
        <w:t xml:space="preserve">Los 10 pasos, en orden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Decide zona</w:t>
      </w:r>
      <w:r>
        <w:t xml:space="preserve"> </w:t>
      </w:r>
      <w:r>
        <w:t xml:space="preserve">(Sevilla metropolitana semi-prime recomendada) y</w:t>
      </w:r>
      <w:r>
        <w:t xml:space="preserve"> </w:t>
      </w:r>
      <w:r>
        <w:rPr>
          <w:b/>
          <w:bCs/>
        </w:rPr>
        <w:t xml:space="preserve">contrata gestoría con experiencia sanitaria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Busca local</w:t>
      </w:r>
      <w:r>
        <w:t xml:space="preserve"> </w:t>
      </w:r>
      <w:r>
        <w:t xml:space="preserve">y, antes de firmar, pide el</w:t>
      </w:r>
      <w:r>
        <w:t xml:space="preserve"> </w:t>
      </w:r>
      <w:r>
        <w:rPr>
          <w:b/>
          <w:bCs/>
        </w:rPr>
        <w:t xml:space="preserve">certificado de compatibilidad urbanística</w:t>
      </w:r>
      <w:r>
        <w:t xml:space="preserve">. Firma con cláusula condicionada a esa compatibilidad y a la autorización sanitaria.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Encarga el proyecto técnico</w:t>
      </w:r>
      <w:r>
        <w:t xml:space="preserve"> </w:t>
      </w:r>
      <w:r>
        <w:t xml:space="preserve">de la unidad U.48 (sirve para ayuntamiento y Junta).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Alta censal (Modelo 036)</w:t>
      </w:r>
      <w:r>
        <w:t xml:space="preserve">: doble epígrafe IAE 832 + 942.9.</w:t>
      </w:r>
      <w:r>
        <w:t xml:space="preserve"> </w:t>
      </w:r>
      <w:r>
        <w:rPr>
          <w:b/>
          <w:bCs/>
        </w:rPr>
        <w:t xml:space="preserve">Alta RETA</w:t>
      </w:r>
      <w:r>
        <w:t xml:space="preserve"> </w:t>
      </w:r>
      <w:r>
        <w:t xml:space="preserve">y solicita la</w:t>
      </w:r>
      <w:r>
        <w:t xml:space="preserve"> </w:t>
      </w:r>
      <w:r>
        <w:rPr>
          <w:b/>
          <w:bCs/>
        </w:rPr>
        <w:t xml:space="preserve">Cuota Cero de Andalucía</w:t>
      </w:r>
      <w:r>
        <w:t xml:space="preserve"> </w:t>
      </w:r>
      <w:r>
        <w:t xml:space="preserve">en plazo.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Colegiación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seguro de RC</w:t>
      </w:r>
      <w:r>
        <w:t xml:space="preserve"> </w:t>
      </w:r>
      <w:r>
        <w:t xml:space="preserve">específico de estética (≥600.000-1.000.000 €, con retroactividad).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Autorización sanitaria de instalación</w:t>
      </w:r>
      <w:r>
        <w:t xml:space="preserve"> </w:t>
      </w:r>
      <w:r>
        <w:t xml:space="preserve">(tasa Modelo 046) +</w:t>
      </w:r>
      <w:r>
        <w:t xml:space="preserve"> </w:t>
      </w:r>
      <w:r>
        <w:rPr>
          <w:b/>
          <w:bCs/>
        </w:rPr>
        <w:t xml:space="preserve">licencia/DR de obra</w:t>
      </w:r>
      <w:r>
        <w:t xml:space="preserve"> </w:t>
      </w:r>
      <w:r>
        <w:t xml:space="preserve">municipal.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Ejecuta la obra</w:t>
      </w:r>
      <w:r>
        <w:t xml:space="preserve"> </w:t>
      </w:r>
      <w:r>
        <w:t xml:space="preserve">cumpliendo la Orden U.48 (salas, sala láser, esterilización, frigorífico con registro de Tª, accesibilidad).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 de actividad municipal</w:t>
      </w:r>
      <w:r>
        <w:t xml:space="preserve"> </w:t>
      </w:r>
      <w:r>
        <w:t xml:space="preserve">(Sevilla Modelo 5-2 / Huelva DR) +</w:t>
      </w:r>
      <w:r>
        <w:t xml:space="preserve"> </w:t>
      </w:r>
      <w:r>
        <w:rPr>
          <w:b/>
          <w:bCs/>
        </w:rPr>
        <w:t xml:space="preserve">autorización sanitaria de funcionamiento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NICA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Cierra el circuito antes de abrir:</w:t>
      </w:r>
      <w:r>
        <w:t xml:space="preserve"> </w:t>
      </w:r>
      <w:r>
        <w:rPr>
          <w:b/>
          <w:bCs/>
        </w:rPr>
        <w:t xml:space="preserve">contrato de residuos</w:t>
      </w:r>
      <w:r>
        <w:t xml:space="preserve"> </w:t>
      </w:r>
      <w:r>
        <w:t xml:space="preserve">(NIMA),</w:t>
      </w:r>
      <w:r>
        <w:t xml:space="preserve"> </w:t>
      </w:r>
      <w:r>
        <w:rPr>
          <w:b/>
          <w:bCs/>
        </w:rPr>
        <w:t xml:space="preserve">paquete RGPD</w:t>
      </w:r>
      <w:r>
        <w:t xml:space="preserve">,</w:t>
      </w:r>
      <w:r>
        <w:t xml:space="preserve"> </w:t>
      </w:r>
      <w:r>
        <w:rPr>
          <w:b/>
          <w:bCs/>
        </w:rPr>
        <w:t xml:space="preserve">consentimientos e historia clínica</w:t>
      </w:r>
      <w:r>
        <w:t xml:space="preserve">,</w:t>
      </w:r>
      <w:r>
        <w:t xml:space="preserve"> </w:t>
      </w:r>
      <w:r>
        <w:rPr>
          <w:b/>
          <w:bCs/>
        </w:rPr>
        <w:t xml:space="preserve">protocolos</w:t>
      </w:r>
      <w:r>
        <w:t xml:space="preserve"> </w:t>
      </w:r>
      <w:r>
        <w:t xml:space="preserve">(botiquín con hialuronidasa, láser, cadena de frío),</w:t>
      </w:r>
      <w:r>
        <w:t xml:space="preserve"> </w:t>
      </w:r>
      <w:r>
        <w:rPr>
          <w:b/>
          <w:bCs/>
        </w:rPr>
        <w:t xml:space="preserve">proveedores autorizados</w:t>
      </w:r>
      <w:r>
        <w:t xml:space="preserve">,</w:t>
      </w:r>
      <w:r>
        <w:t xml:space="preserve"> </w:t>
      </w:r>
      <w:r>
        <w:rPr>
          <w:b/>
          <w:bCs/>
        </w:rPr>
        <w:t xml:space="preserve">software Verifactu-compatible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Marketing</w:t>
      </w:r>
      <w:r>
        <w:t xml:space="preserve"> </w:t>
      </w:r>
      <w:r>
        <w:t xml:space="preserve">(solo con el NICA): Google Business Profile + reseñas + web/SEO + Instagram con tu cara + Doctoralia + WhatsApp. Red de derivadores (médicos de familia, endocrinos, ginecólogos).</w:t>
      </w:r>
    </w:p>
    <w:p>
      <w:r>
        <w:pict>
          <v:rect style="width:0;height:1.5pt" o:hralign="center" o:hrstd="t" o:hr="t"/>
        </w:pict>
      </w:r>
    </w:p>
    <w:bookmarkEnd w:id="9"/>
    <w:bookmarkStart w:id="10" w:name="no-negociables-antes-del-primer-paciente"/>
    <w:p>
      <w:pPr>
        <w:pStyle w:val="Heading2"/>
      </w:pPr>
      <w:r>
        <w:t xml:space="preserve">No-negociables antes del primer paciente</w:t>
      </w:r>
    </w:p>
    <w:p>
      <w:pPr>
        <w:pStyle w:val="FirstParagraph"/>
      </w:pPr>
      <w:r>
        <w:rPr>
          <w:b/>
          <w:bCs/>
        </w:rPr>
        <w:t xml:space="preserve">Autorización de funcionamiento + NICA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Seguro de RC en vigor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Hialuronidasa no caducada + protocolo de oclusión vascular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Consentimiento firmado antes + historia clínica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Cadena de frío de la toxina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Contrato de residuos + contenedor de cortopunzantes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RGPD mínimo (RAT + cláusula + contrato de encargado)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Colegiación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Producto de proveedor autorizado con trazabilidad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"/>
    <w:bookmarkStart w:id="11" w:name="cinco-datos-que-te-ahorran-disgustos"/>
    <w:p>
      <w:pPr>
        <w:pStyle w:val="Heading2"/>
      </w:pPr>
      <w:r>
        <w:t xml:space="preserve">Cinco datos que te ahorran disgustos</w:t>
      </w:r>
    </w:p>
    <w:p>
      <w:pPr>
        <w:pStyle w:val="Compact"/>
        <w:numPr>
          <w:ilvl w:val="0"/>
          <w:numId w:val="1002"/>
        </w:numPr>
      </w:pPr>
      <w:r>
        <w:t xml:space="preserve">La</w:t>
      </w:r>
      <w:r>
        <w:t xml:space="preserve"> </w:t>
      </w:r>
      <w:r>
        <w:rPr>
          <w:b/>
          <w:bCs/>
        </w:rPr>
        <w:t xml:space="preserve">DR municipal no habilita a tratar</w:t>
      </w:r>
      <w:r>
        <w:t xml:space="preserve">; solo la</w:t>
      </w:r>
      <w:r>
        <w:t xml:space="preserve"> </w:t>
      </w:r>
      <w:r>
        <w:rPr>
          <w:b/>
          <w:bCs/>
        </w:rPr>
        <w:t xml:space="preserve">autorización sanitaria de funcionamiento</w:t>
      </w:r>
      <w:r>
        <w:t xml:space="preserve"> </w:t>
      </w:r>
      <w:r>
        <w:t xml:space="preserve">lo hace.</w:t>
      </w:r>
    </w:p>
    <w:p>
      <w:pPr>
        <w:pStyle w:val="Compact"/>
        <w:numPr>
          <w:ilvl w:val="0"/>
          <w:numId w:val="1002"/>
        </w:numPr>
      </w:pPr>
      <w:r>
        <w:t xml:space="preserve">La estética lleva</w:t>
      </w:r>
      <w:r>
        <w:t xml:space="preserve"> </w:t>
      </w:r>
      <w:r>
        <w:rPr>
          <w:b/>
          <w:bCs/>
        </w:rPr>
        <w:t xml:space="preserve">IVA del 21%</w:t>
      </w:r>
      <w:r>
        <w:t xml:space="preserve"> </w:t>
      </w:r>
      <w:r>
        <w:t xml:space="preserve">(la exención es solo para lo terapéutico y hay que documentarlo).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Tarifa plana + Cuota Cero</w:t>
      </w:r>
      <w:r>
        <w:t xml:space="preserve"> </w:t>
      </w:r>
      <w:r>
        <w:t xml:space="preserve">= RETA ≈ 0 € el primer año.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Nunca nombres</w:t>
      </w:r>
      <w:r>
        <w:rPr>
          <w:b/>
          <w:bCs/>
        </w:rPr>
        <w:t xml:space="preserve"> </w:t>
      </w:r>
      <w:r>
        <w:rPr>
          <w:b/>
          <w:bCs/>
        </w:rPr>
        <w:t xml:space="preserve">“bótox”</w:t>
      </w:r>
      <w:r>
        <w:t xml:space="preserve"> </w:t>
      </w:r>
      <w:r>
        <w:t xml:space="preserve">(ni</w:t>
      </w:r>
      <w:r>
        <w:t xml:space="preserve"> </w:t>
      </w:r>
      <w:r>
        <w:t xml:space="preserve">“Ozempic/GLP-1”</w:t>
      </w:r>
      <w:r>
        <w:t xml:space="preserve">) en publicidad: son fármacos de prescripción.</w:t>
      </w:r>
    </w:p>
    <w:p>
      <w:pPr>
        <w:pStyle w:val="Compact"/>
        <w:numPr>
          <w:ilvl w:val="0"/>
          <w:numId w:val="1002"/>
        </w:numPr>
      </w:pPr>
      <w:r>
        <w:t xml:space="preserve">La</w:t>
      </w:r>
      <w:r>
        <w:t xml:space="preserve"> </w:t>
      </w:r>
      <w:r>
        <w:rPr>
          <w:b/>
          <w:bCs/>
        </w:rPr>
        <w:t xml:space="preserve">SLP no te blinda de la mala praxis</w:t>
      </w:r>
      <w:r>
        <w:t xml:space="preserve">; el seguro de RC es imprescindible.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Resumen de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08_Checklists_y_Cronograma/01_Ruta_Critica_y_Checklist_Apertura.md</w:t>
      </w:r>
      <w:r>
        <w:rPr>
          <w:i/>
          <w:iCs/>
        </w:rPr>
        <w:t xml:space="preserve">. Vigencia: julio 2026.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2026-07-04T01:14:52Z</dcterms:created>
  <dcterms:modified xsi:type="dcterms:W3CDTF">2026-07-04T01:14:52Z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